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1F9D8A66"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217682">
        <w:rPr>
          <w:rFonts w:ascii="Arial" w:hAnsi="Arial" w:cs="Arial"/>
          <w:sz w:val="22"/>
          <w:szCs w:val="22"/>
        </w:rPr>
        <w:t>CM_01_2026</w:t>
      </w:r>
      <w:r w:rsidRPr="00880A19">
        <w:rPr>
          <w:rFonts w:ascii="Arial" w:hAnsi="Arial" w:cs="Arial"/>
          <w:sz w:val="22"/>
          <w:szCs w:val="22"/>
        </w:rPr>
        <w:t xml:space="preserve"> </w:t>
      </w:r>
    </w:p>
    <w:p w14:paraId="4A569868" w14:textId="77777777" w:rsidR="00A7300F" w:rsidRPr="00880A19" w:rsidRDefault="00A7300F" w:rsidP="00A7300F">
      <w:pPr>
        <w:rPr>
          <w:rFonts w:ascii="Arial" w:hAnsi="Arial" w:cs="Arial"/>
          <w:sz w:val="22"/>
          <w:szCs w:val="22"/>
        </w:rPr>
      </w:pPr>
    </w:p>
    <w:p w14:paraId="7721A1B3" w14:textId="1D4F698B"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 xml:space="preserve">CONTRATACIÓN DE LA REALIZACIÓN DE DOS EDICIONES DEL CURSO DE FORMACIÓN EN LÍNEA SOBRE LA TRATA DE MUJERES Y NIÑAS CON FINES DE EXPLOTACIÓN SEXUAL, DIRIGIDO A PROFESIONALES DEL ÁMBITO </w:t>
      </w:r>
      <w:r w:rsidR="00087197">
        <w:rPr>
          <w:rFonts w:ascii="Arial" w:hAnsi="Arial" w:cs="Arial"/>
          <w:sz w:val="22"/>
          <w:szCs w:val="22"/>
        </w:rPr>
        <w:t xml:space="preserve">LOCAL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3B8BD9A1"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 xml:space="preserve">la realización de dos ediciones del curso de formación en línea sobre la trata de mujeres y niñas con fines de explotación sexual, dirigido a profesionales del ámbito local.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217682">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21713C"/>
    <w:rsid w:val="00217682"/>
    <w:rsid w:val="00241144"/>
    <w:rsid w:val="003107B5"/>
    <w:rsid w:val="005A79EA"/>
    <w:rsid w:val="00680CC0"/>
    <w:rsid w:val="00814BC4"/>
    <w:rsid w:val="0082203D"/>
    <w:rsid w:val="009B07AD"/>
    <w:rsid w:val="00A240C0"/>
    <w:rsid w:val="00A7300F"/>
    <w:rsid w:val="00AC2B93"/>
    <w:rsid w:val="00EC0003"/>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5</TotalTime>
  <Pages>2</Pages>
  <Words>481</Words>
  <Characters>2650</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2025-12-19T10:55:00Z</dcterms:created>
  <dcterms:modified xsi:type="dcterms:W3CDTF">2026-01-08T08:35:00Z</dcterms:modified>
</cp:coreProperties>
</file>