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11" w:rsidRPr="0013311D" w:rsidRDefault="00A72611" w:rsidP="00A72611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13311D">
        <w:rPr>
          <w:rFonts w:ascii="Arial" w:eastAsia="Calibri" w:hAnsi="Arial" w:cs="Arial"/>
          <w:sz w:val="24"/>
          <w:szCs w:val="24"/>
        </w:rPr>
        <w:t>ANEXO III</w:t>
      </w:r>
    </w:p>
    <w:p w:rsidR="00A72611" w:rsidRPr="0013311D" w:rsidRDefault="00A72611" w:rsidP="00A72611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3311D">
        <w:rPr>
          <w:rFonts w:ascii="Arial" w:eastAsia="Calibri" w:hAnsi="Arial" w:cs="Arial"/>
          <w:sz w:val="24"/>
          <w:szCs w:val="24"/>
        </w:rPr>
        <w:t>MODELO DE DECLARACIÓN DE CESIÓN Y TRATAMIENTO DE DATOS EN RELACIÓN CON LA EJECUCIÓN DE ACTUACIONES DEL PLAN DE RECUPERACIÓN, TRANSFORMACIÓN Y RESILIENCIA (PRTR) Y DE COMPROMISO EN RELACIÓN CON LA EJECUCIÓN DE ACTUACIONES DEL PLAN DE RECUPERACIÓN, TRANSFORMACIÓN Y RESILIENCIA (PRTR),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Don/Doña ……………………………………………………, DNI ……………………, como Representante legal de la entidad ………………………………………………………………………….,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…………………………………………………………………………………………………………………………………………………beneficiaria de ayudas financiadas con recursos provenientes del PRTR/ que participa como contratista/subcontratista en el desarrollo de actuaciones necesarias para la consecución de los objetivos definidos en el Componente 13 «Impulso a la pyme»: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1.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Declara conocer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la normativa que es de aplicación, en particular los siguientes apartados del artículo 22, del Reglamento (UE) 2021/241 del Parlamento Europeo y del Consejo, de 12 de febrero de 2021, por el que se establece el Mecanismo de Recuperación y Resiliencia: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a).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lastRenderedPageBreak/>
        <w:t>i. El nombre del perceptor final de los fondos;</w:t>
      </w:r>
    </w:p>
    <w:p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b).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Conforme al marco jurídico expuesto, 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manifiesta acceder a la cesión y tratamiento de los datos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con los fines expresamente relacionados en los artículos citados.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2.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3. Atendiendo al contenido del PRTR, 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se compromete a respetar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 </w:t>
      </w:r>
    </w:p>
    <w:p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……………………………..., XX de …………… de 202X</w:t>
      </w:r>
    </w:p>
    <w:p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Fdo. …………………………………………….</w:t>
      </w:r>
    </w:p>
    <w:p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Cargo: …………………………………………</w:t>
      </w:r>
    </w:p>
    <w:p w:rsidR="00A72611" w:rsidRPr="0013311D" w:rsidRDefault="00A72611" w:rsidP="00A72611">
      <w:pPr>
        <w:pStyle w:val="Textonotapie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:rsidR="00A72611" w:rsidRPr="0013311D" w:rsidRDefault="00A72611" w:rsidP="00A72611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72611" w:rsidRPr="0013311D" w:rsidRDefault="00A72611" w:rsidP="00A72611">
      <w:pPr>
        <w:spacing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:rsidR="00F2449B" w:rsidRDefault="00F2449B"/>
    <w:sectPr w:rsidR="00F2449B" w:rsidSect="00A50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A1" w:rsidRDefault="001858A1" w:rsidP="00A72611">
      <w:pPr>
        <w:spacing w:after="0" w:line="240" w:lineRule="auto"/>
      </w:pPr>
      <w:r>
        <w:separator/>
      </w:r>
    </w:p>
  </w:endnote>
  <w:endnote w:type="continuationSeparator" w:id="0">
    <w:p w:rsidR="001858A1" w:rsidRDefault="001858A1" w:rsidP="00A7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B4" w:rsidRDefault="009430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13311D" w:rsidRDefault="00EE6FE8">
        <w:pPr>
          <w:pStyle w:val="Piedepgina"/>
          <w:jc w:val="right"/>
        </w:pPr>
        <w:r>
          <w:fldChar w:fldCharType="begin"/>
        </w:r>
        <w:r w:rsidR="00976462">
          <w:instrText>PAGE   \* MERGEFORMAT</w:instrText>
        </w:r>
        <w:r>
          <w:fldChar w:fldCharType="separate"/>
        </w:r>
        <w:r w:rsidR="001858A1">
          <w:rPr>
            <w:noProof/>
          </w:rPr>
          <w:t>1</w:t>
        </w:r>
        <w:r>
          <w:fldChar w:fldCharType="end"/>
        </w:r>
      </w:p>
    </w:sdtContent>
  </w:sdt>
  <w:p w:rsidR="0013311D" w:rsidRDefault="001858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B4" w:rsidRDefault="00943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A1" w:rsidRDefault="001858A1" w:rsidP="00A72611">
      <w:pPr>
        <w:spacing w:after="0" w:line="240" w:lineRule="auto"/>
      </w:pPr>
      <w:r>
        <w:separator/>
      </w:r>
    </w:p>
  </w:footnote>
  <w:footnote w:type="continuationSeparator" w:id="0">
    <w:p w:rsidR="001858A1" w:rsidRDefault="001858A1" w:rsidP="00A7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B4" w:rsidRDefault="009430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1D" w:rsidRDefault="001858A1">
    <w:pPr>
      <w:pStyle w:val="Encabezado"/>
    </w:pPr>
  </w:p>
  <w:p w:rsidR="0013311D" w:rsidRDefault="00976462">
    <w:pPr>
      <w:pStyle w:val="Encabezado"/>
    </w:pPr>
    <w:r>
      <w:rPr>
        <w:noProof/>
        <w:lang w:eastAsia="es-ES"/>
      </w:rPr>
      <w:drawing>
        <wp:inline distT="0" distB="0" distL="0" distR="0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562100" cy="65849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311D" w:rsidRDefault="001858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B4" w:rsidRDefault="00943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11"/>
    <w:rsid w:val="000F000E"/>
    <w:rsid w:val="001858A1"/>
    <w:rsid w:val="009106FE"/>
    <w:rsid w:val="009430B4"/>
    <w:rsid w:val="00976462"/>
    <w:rsid w:val="00A72611"/>
    <w:rsid w:val="00C52041"/>
    <w:rsid w:val="00EE6FE8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1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2611"/>
  </w:style>
  <w:style w:type="paragraph" w:styleId="Piedepgina">
    <w:name w:val="footer"/>
    <w:basedOn w:val="Normal"/>
    <w:link w:val="PiedepginaCar"/>
    <w:uiPriority w:val="99"/>
    <w:unhideWhenUsed/>
    <w:rsid w:val="00A7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611"/>
  </w:style>
  <w:style w:type="paragraph" w:styleId="Textonotapie">
    <w:name w:val="footnote text"/>
    <w:basedOn w:val="Normal"/>
    <w:link w:val="TextonotapieCar"/>
    <w:rsid w:val="00A7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A7261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27D257E7A0C2E241866E22E1C03C32F2" ma:contentTypeVersion="0" ma:contentTypeDescription="Tipo de contenido para las bibliotecas de documentos de tipo listado de documentos" ma:contentTypeScope="" ma:versionID="43a5fe490a51c08f0cc6ce55d21b5e66">
  <xsd:schema xmlns:xsd="http://www.w3.org/2001/XMLSchema" xmlns:xs="http://www.w3.org/2001/XMLSchema" xmlns:p="http://schemas.microsoft.com/office/2006/metadata/properties" xmlns:ns2="406945F8-C2B9-4BB3-BCDC-D59903DCCBF3" xmlns:ns3="cc47aa10-76f6-44fd-8d2a-3cf7ed5e9a19" targetNamespace="http://schemas.microsoft.com/office/2006/metadata/properties" ma:root="true" ma:fieldsID="3dafce52dcd2dde8fc3e135170dfbd9e" ns2:_="" ns3:_="">
    <xsd:import namespace="406945F8-C2B9-4BB3-BCDC-D59903DCCBF3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45F8-C2B9-4BB3-BCDC-D59903DCCBF3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406945F8-C2B9-4BB3-BCDC-D59903DCCBF3">7</MCLDOrden>
    <MCLDDescripcion xmlns="406945F8-C2B9-4BB3-BCDC-D59903DCCBF3" xsi:nil="true"/>
  </documentManagement>
</p:properties>
</file>

<file path=customXml/itemProps1.xml><?xml version="1.0" encoding="utf-8"?>
<ds:datastoreItem xmlns:ds="http://schemas.openxmlformats.org/officeDocument/2006/customXml" ds:itemID="{7BF00884-8B5D-49D2-88AE-1BF10F0A2E88}"/>
</file>

<file path=customXml/itemProps2.xml><?xml version="1.0" encoding="utf-8"?>
<ds:datastoreItem xmlns:ds="http://schemas.openxmlformats.org/officeDocument/2006/customXml" ds:itemID="{FA5D6734-E801-4753-B811-41B9DADC5105}"/>
</file>

<file path=customXml/itemProps3.xml><?xml version="1.0" encoding="utf-8"?>
<ds:datastoreItem xmlns:ds="http://schemas.openxmlformats.org/officeDocument/2006/customXml" ds:itemID="{D5183B32-65BE-4E31-946D-0D2E1664C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de aceptacion de cesion y tratamiento de datos en ejecucion de actuaciones del PRTR y de compromiso en ejecucion de actuaciones del PRTR Anexo III (versión 1; actualizado: 05/07/2022)</dc:title>
  <dc:creator/>
  <cp:lastModifiedBy/>
  <cp:revision>1</cp:revision>
  <dcterms:created xsi:type="dcterms:W3CDTF">2022-07-05T16:15:00Z</dcterms:created>
  <dcterms:modified xsi:type="dcterms:W3CDTF">2022-07-05T16:15:00Z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0x0101002B548C03437E43FC972CE33E155068B40027D257E7A0C2E241866E22E1C03C32F2</vt:lpwstr>
  </property>
</Properties>
</file>